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32a NW_27227 (Nordrhein-Westfalen) — Einberufung von Sitzungen in besonderenAusnahmefällen</w:t>
      </w:r>
    </w:p>
    <w:p>
      <w:r>
        <w:rPr>
          <w:color w:val="555555"/>
          <w:sz w:val="18"/>
        </w:rPr>
        <w:t xml:space="preserve">KrO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47a der Gemeindeordnung für das Land Nordrhein-Westfalen gilt für die Einberufung des Kreistags, des Kreisausschusses und der Ausschüsse nach § 41 in besonderen Ausnahmefällen entsprechend.</w:t>
      </w:r>
    </w:p>
    <w:p>
      <w:r>
        <w:rPr>
          <w:color w:val="555555"/>
          <w:sz w:val="17"/>
        </w:rPr>
        <w:t xml:space="preserve">Zitiervorschlag: § 32a NW_27227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https://recht.nulegal.eu/gesetze/NW_27227/32a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