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NW_27227 (Nordrhein-Westfalen) — Entschädigung der Kreistagsmitglieder</w:t>
      </w:r>
    </w:p>
    <w:p>
      <w:r>
        <w:rPr>
          <w:color w:val="555555"/>
          <w:sz w:val="18"/>
        </w:rPr>
        <w:t xml:space="preserve">KrO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Entschädigung der Mitglieder des Kreistags, des Kreisausschusses und der Ausschüsse gelten die §§ 45 und 133 Absatz 5 der Gemeindeordnung für das Land Nordrhein-Westfalen entsprechend.</w:t>
      </w:r>
    </w:p>
    <w:p>
      <w:r>
        <w:rPr>
          <w:color w:val="555555"/>
          <w:sz w:val="17"/>
        </w:rPr>
        <w:t xml:space="preserve">Zitiervorschlag: § 30 NW_27227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https://recht.nulegal.eu/gesetze/NW_27227/30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