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NW_27227 (Nordrhein-Westfalen) — Wahl der Kreistagsmitglieder</w:t>
      </w:r>
    </w:p>
    <w:p>
      <w:r>
        <w:rPr>
          <w:color w:val="555555"/>
          <w:sz w:val="18"/>
        </w:rPr>
        <w:t xml:space="preserve">KrO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Kreistagsmitglieder werden in allgemeiner, unmittelbarer, freier, gleicher und geheimer Wahl auf die Dauer von fünf Jahren gewählt. Die näheren Vorschriften trifft das Kommunalwahlgesetz.</w:t>
      </w:r>
    </w:p>
    <w:p>
      <w:r>
        <w:t xml:space="preserve">(2) Nach Ablauf der Wahlperiode üben die bisherigen Kreistagsmitglieder ihre Tätigkeit bis zur ersten Sitzung des neugewählten Kreistags weiter aus.</w:t>
      </w:r>
    </w:p>
    <w:p>
      <w:r>
        <w:rPr>
          <w:color w:val="555555"/>
          <w:sz w:val="17"/>
        </w:rPr>
        <w:t xml:space="preserve">Zitiervorschlag: § 27 NW_27227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https://recht.nulegal.eu/gesetze/NW_27227/27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NW_27227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