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NW_27227 (Nordrhein-Westfalen) — Zuständigkeiten des Kreistags</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Kreistag beschließt über die Angelegenheiten des Kreises, die ihrer Bedeutung nach einer solchen Entscheidung bedürfen oder die er sich vorbehält, soweit nicht in diesem Gesetz etwas anderes bestimmt ist. Er ist ausschließlich zuständig für</w:t>
      </w:r>
    </w:p>
    <w:p>
      <w:r>
        <w:t xml:space="preserve">a) die Aufstellung allgemeiner Grundsätze, nach denen die Verwaltung geführt werden soll,</w:t>
      </w:r>
    </w:p>
    <w:p>
      <w:r>
        <w:t xml:space="preserve">b) die Wahl der Mitglieder des Kreisausschusses und ihrer Stellvertreter,</w:t>
      </w:r>
    </w:p>
    <w:p>
      <w:r>
        <w:t xml:space="preserve">c) die Wahl der Mitglieder der anderen Ausschüsse,</w:t>
      </w:r>
    </w:p>
    <w:p>
      <w:r>
        <w:t xml:space="preserve">d) die Wahl von Beigeordneten sowie die Bestellung der allgemeinen Vertretung der Landrätin oder des Landrats und der Kämmerin oder des Kämmerers,</w:t>
      </w:r>
    </w:p>
    <w:p>
      <w:r>
        <w:t xml:space="preserve">e) die Änderung des Gebiets des Kreises, die Bestimmung des Namens und der Bezeichnung des Kreises und des Sitzes der Kreisverwaltung sowie die Änderung und Einführung von Dienstsiegeln, Wappen und Flaggen, soweit nicht in diesem Gesetz etwas anderes bestimmt ist,</w:t>
      </w:r>
    </w:p>
    <w:p>
      <w:r>
        <w:t xml:space="preserve">f) den Erlaß, die Änderung, die Aufhebung von Satzungen und sonstigen ortsrechtlichen Bestimmungen,</w:t>
      </w:r>
    </w:p>
    <w:p>
      <w:r>
        <w:t xml:space="preserve">g) den Erlass der Haushaltssatzung und des Stellenplans, die Aufstellung eines Haushaltssicherungskonzeptes, die Zustimmung zu überplanmäßigen und außerplanmäßigen Aufwendungen und Auszahlungen und überplanmäßigen und außerplanmäßigen Verpflichtungsermächtigungen, die Festlegung von Wertgrenzen für die Veranschlagung und Abrechnung einzelner Investitionsmaßnahmen,</w:t>
      </w:r>
    </w:p>
    <w:p>
      <w:r>
        <w:t xml:space="preserve">h) die Festsetzung allgemein geltender öffentlicher Abgaben und privatrechtlicher Entgelte sowie der Kreisumlage,</w:t>
      </w:r>
    </w:p>
    <w:p>
      <w:r>
        <w:t xml:space="preserve">i) die Feststellung des Jahresabschlusses und die Entlastung sowie die Bestätigung des Gesamtabschlusses, sofern ein Gesamtabschluss nicht erstellt wird, die Beschlussfassung über den Beteiligungsbericht,</w:t>
      </w:r>
    </w:p>
    <w:p>
      <w:r>
        <w:t xml:space="preserve">j) den Beschluss über die gegenüber der Gemeindeprüfungsanstalt und der Aufsichtsbehörde abzugebende Stellungnahme gemäß § 105 Absatz 7 der Gemeindeordnung für das Land Nordrhein-Westfalen,</w:t>
      </w:r>
    </w:p>
    <w:p>
      <w:r>
        <w:t xml:space="preserve">k) den Erwerb von Vermögensgegenständen, soweit es sich nicht um Geschäfte der laufenden Verwaltung handelt,</w:t>
      </w:r>
    </w:p>
    <w:p>
      <w:r>
        <w:t xml:space="preserve">l) die teilweise oder vollständige Veräußerung oder Verpachtung von Eigenbetrieben, die teilweise oder vollständige Veräußerung einer unmittelbaren oder mittelbaren Beteiligung an einer Gesellschaft oder anderen Vereinigungen des privaten Rechts, die Veräußerung eines Geschäftsanteils an einer eingetragenen Kreditgenossenschaft sowie den Abschluss von anderen Rechtsgeschäften im Sinne des § 111 Abs. 1 und 2 Gemeindeordnung,</w:t>
      </w:r>
    </w:p>
    <w:p>
      <w:r>
        <w:t xml:space="preserve">m) die Errichtung, Übernahme, Erweiterung, Einschränkung und Auflösung von Anstalten des öffentlichen Rechts gemäß § 114 a der Gemeindeordnung, öffentlichen Einrichtungen und Eigenbetrieben, die Bildung oder Auflösung eines gemeinsamen Kommunalunternehmens gemäß § 27 Abs. 1 bis 3 und 6 des Gesetzes über kommunale Gemeinschaftsarbeit, die Änderung der Unternehmenssatzung eines gemeinsamen Kommunalunternehmens sowie der Austritt aus einem gemeinsamen Kommunalunternehmen, die erstmalige unmittelbare oder mittelbare Beteiligung sowie die Erhöhung einer unmittelbaren oder mittelbaren Beteiligung an einer Gesellschaft oder anderen Vereinigungen in privater Rechtsform, den Erwerb eines Geschäftsanteils an einer eingetragenen Kreditgenossenschaft,</w:t>
      </w:r>
    </w:p>
    <w:p>
      <w:r>
        <w:t xml:space="preserve">n) die Umwandlung der Rechtsform von Anstalten des öffentlichen Rechts gem. § 114a der Gemeindeordnung, öffentlichen Einrichtungen und Eigenbetrieben sowie die Umwandlung der Rechtsform von Gesellschaften, an denen der Kreis beteiligt ist, soweit der Einfluß des Kreises geltend gemacht werden kann,</w:t>
      </w:r>
    </w:p>
    <w:p>
      <w:r>
        <w:t xml:space="preserve">o) die Umwandlung des Zwecks, die Zusammenlegung und die Aufhebung von Stiftungen einschließlich des Verbleibs des Stiftungsvermögens,</w:t>
      </w:r>
    </w:p>
    <w:p>
      <w:r>
        <w:t xml:space="preserve">p) die Übernahme von Bürgschaften, den Abschluß von Gewährverträgen und die Bestellung sonstiger Sicherheiten für andere sowie solche Rechtsgeschäfte, die den vorgenannten wirtschaftlich gleichkommen,</w:t>
      </w:r>
    </w:p>
    <w:p>
      <w:r>
        <w:t xml:space="preserve">q) die Bestellung und Abberufung der Leitung und der Prüfer der örtlichen Rechnungsprüfung sowie die Übertragung von Aufgaben auf die örtliche Rechnungsprüfung,</w:t>
      </w:r>
    </w:p>
    <w:p>
      <w:r>
        <w:t xml:space="preserve">r die Genehmigung von Verträgen des Kreises mit Kreistags- und Ausschußmitgliedern, mit dem Landrat und den leitenden Dienstkräften des Kreises nach näherer Bestimmung der Hauptsatzung,</w:t>
      </w:r>
    </w:p>
    <w:p>
      <w:r>
        <w:t xml:space="preserve">s) die Übernahme neuer Aufgaben, für die keine gesetzliche Verpflichtung besteht,</w:t>
      </w:r>
    </w:p>
    <w:p>
      <w:r>
        <w:t xml:space="preserve">t) alle Angelegenheiten, in denen das Gesetz die Zuständigkeit des Kreistags ausdrücklich vorschreibt,</w:t>
      </w:r>
    </w:p>
    <w:p>
      <w:r>
        <w:t xml:space="preserve">u) die Festlegung strategischer Ziele unter Berücksichtigung der Ressourcen.</w:t>
      </w:r>
    </w:p>
    <w:p>
      <w:r>
        <w:t xml:space="preserve">Der Kreistag kann durch die Hauptsatzung die Erledigung bestimmter Geschäfte, für die er nach Satz 2 Buchstaben j bis l zuständig ist, auf den Kreisausschuß übertragen.</w:t>
      </w:r>
    </w:p>
    <w:p>
      <w:r>
        <w:t xml:space="preserve">(2) Der Kreistag ist durch den Landrat über alle wichtigen Angelegenheiten der Kreisverwaltung zu unterrichten; er überwacht die Durchführung seiner Beschlüsse sowie den Ablauf der Verwaltungsangelegenheiten. Auch kann der Kreistag vom Landrat Einsicht in die Akten durch einen von ihm bestimmten Ausschuß oder einzelne von ihm beauftragte Mitglieder fordern. In Einzelfällen muß auf Verlangen von mindestens einem Fünftel der Kreistagsmitglieder oder einer Fraktion auch einem einzelnen, von den Antragstellern zu benennenden Kreistagsmitglied Akteneinsicht gewährt werden. Ausschussvorsitzende können vom Landrat jederzeit Auskunft und Akteneinsicht über die Angelegenheiten verlangen, die zum Aufgabenbereich ihres Ausschusses gehören. Dritte sind von der Teilnahme an der Akteneinsicht ausgeschlossen. Akteneinsicht darf einem Kreistagsmitglied nicht gewährt werden, das wegen Interessenwiderstreits von der Beratung und Entscheidung der Angelegenheit ausgeschlossen ist.</w:t>
      </w:r>
    </w:p>
    <w:p>
      <w:r>
        <w:t xml:space="preserve">(3) Über wichtige Anordnungen der Aufsichtsbehörde und Anordnungen, bei denen die Aufsichtsbehörden dies bestimmen, ist der Kreistag vom Landrat zu unterrichten.</w:t>
      </w:r>
    </w:p>
    <w:p>
      <w:r>
        <w:t xml:space="preserve">(4) Der Landrat ist verpflichtet, einem Kreistagsmitglied auf Verlangen Auskunft zu erteilen oder zu einem Tagesordnungspunkt Stellung zu nehmen. Jedem Kreistagsmitglied ist vom Landrat auf Verlangen Akteneinsicht zu gewähren, soweit die Akten im Zusammenhang mit der Vorbereitung oder der Kontrolle von Beschlüssen des Kreistages oder des Ausschusses stehen, dem es angehört. Dritte sind von der Teilnahme an der Akteneinsicht ausgeschlossen. Die Akteneinsicht darf nur verweigert werden, soweit ihr schutzwürdige Belange Betroffener oder Dritter entgegenstehen. Die ablehnende Entscheidung ist in Textform zu begründen. Akteneinsicht darf einem Kreistagsmitglied nicht gewährt werden, das wegen Interessenwiderstreits von der Beratung und Entscheidung der Angelegenheit ausgeschlossen ist.</w:t>
      </w:r>
    </w:p>
    <w:p>
      <w:r>
        <w:t xml:space="preserve">(5) Für die Vertretung der Kreise in Organen von juristischen Personen oder Personenvereinigungen gilt § 113 der Gemeindeordnung entsprechend. Vertreter des Kreises, die Mitgliedschaftsrechte in Organen, Beiräten oder Ausschüssen von juristischen Personen oder Personenvereinigungen wahrnehmen, werden vom Kreistag bestellt oder vorgeschlagen. Ist mehr als ein Vertreter des Kreises zu benennen, muss der Landrat oder der von ihm vorgeschlagene Bedienstete des Kreises dazuzählen. Die Vertreter des Kreises sind an die Beschlüsse des Kreistags und des Kreisausschusses gebunden. Sie haben ihr Amt auf Beschluß des Kreistags jederzeit niederzulegen. Die Sätze 1 bis 5 gelten nur, soweit durch Gesetz nichts anderes bestimmt ist.</w:t>
      </w:r>
    </w:p>
    <w:p>
      <w:r>
        <w:t xml:space="preserve">(6) Absatz 5 gilt entsprechend, wenn dem Kreis das Recht eingeräumt wird, Mitglieder des Vorstandes, des Aufsichtsrates oder eines gleichartigen Organs zu bestellen oder vorzuschlagen.</w:t>
      </w:r>
    </w:p>
    <w:p>
      <w:r>
        <w:t xml:space="preserve">(7) Werden die vom Kreis bestellten oder vorgeschlagenen Personen aus dieser Tätigkeit haftbar gemacht, so hat ihnen der Kreis den Schaden zu ersetzen, es sei denn, daß sie ihn vorsätzlich oder grob fahrlässig herbeigeführt haben. Auch in diesem Fall ist der Kreis schadensersatzpflichtig, wenn die vom Kreis bestellten Personen nach Weisung des Kreistags oder des Kreisausschusses gehandelt haben.</w:t>
      </w:r>
    </w:p>
    <w:p>
      <w:r>
        <w:rPr>
          <w:color w:val="555555"/>
          <w:sz w:val="17"/>
        </w:rPr>
        <w:t xml:space="preserve">Zitiervorschlag: § 26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