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NW_27227 (Nordrhein-Westfalen) — Allgemeines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Kreistag besteht aus den Kreistagsmitgliedern, die von den Bürgern der kreisangehörigen Gemeinden gewählt werden (Kreistagsmitglieder) und dem Landrat (Mitglied kraft Gesetzes).</w:t>
      </w:r>
    </w:p>
    <w:p>
      <w:r>
        <w:t xml:space="preserve">(2) Vorsitzender des Kreistags ist der Landrat. Ihm obliegt die repräsentative Vertretung des Kreises. Der Landrat hat im Kreistag Stimmrecht. In den Fällen der §§ 26 Abs. 1 Buchstabe i), 26 Abs. 2, 32 Abs. 1 Satz 3, 33 Abs. 1 Satz 2, 35 Abs. 3, 38 Abs. 2, 41 Abs. 3, 5 und 7, 45 Abs. 1, 48 Abs. 1 Satz 2 und 49 Abs. 1 Satz 3 und 4 stimmt er nicht mit.</w:t>
      </w:r>
    </w:p>
    <w:p>
      <w:r>
        <w:rPr>
          <w:color w:val="555555"/>
          <w:sz w:val="17"/>
        </w:rPr>
        <w:t xml:space="preserve">Zitiervorschlag: § 25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