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NW_27227 (Nordrhein-Westfalen) — Name, Bezeichnung und Sitz</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führen ihre bisherigen Namen. Der Kreistag kann mit einer Mehrheit von drei Vierteln seiner Mitglieder den Kreisnamen ändern. Die Änderung des Kreisnamens bedarf der Genehmigung des für Kommunales zuständigen Ministeriums. Sätze 2 und 3 finden auch in den Fällen Anwendung, in denen der Kreisname durch Gesetz festgelegt wurde, wenn seit dem Inkrafttreten des Gesetzes zehn Jahre vergangen sind.</w:t>
      </w:r>
    </w:p>
    <w:p>
      <w:r>
        <w:t xml:space="preserve">(2) Die Kreise können Bezeichnungen, die auf der Geschichte oder der heutigen Eigenart oder Bedeutung des Kreises beruhen, führen. Der Kreistag kann mit einer Mehrheit von drei Vierteln seiner Mitglieder diese Bezeichnung bestimmen und ändern. Die Bestimmung und Änderung der Bezeichnung bedarf der Genehmigung des für Kommunales zuständigen Ministeriums.</w:t>
      </w:r>
    </w:p>
    <w:p>
      <w:r>
        <w:t xml:space="preserve">(3) Der Kreistag bestimmt den Sitz der Kreisverwaltung; der Beschluß bedarf der Genehmigung der Landesregierung.</w:t>
      </w:r>
    </w:p>
    <w:p>
      <w:r>
        <w:rPr>
          <w:color w:val="555555"/>
          <w:sz w:val="17"/>
        </w:rPr>
        <w:t xml:space="preserve">Zitiervorschlag: § 12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