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NW_27225 (Nordrhein-Westfalen)</w:t>
      </w:r>
    </w:p>
    <w:p>
      <w:r>
        <w:rPr>
          <w:color w:val="555555"/>
          <w:sz w:val="18"/>
        </w:rPr>
        <w:t xml:space="preserve">Gesetz über den Landesverband 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Verwaltung des Verbandes erfolgt durch seine Organe:</w:t>
      </w:r>
    </w:p>
    <w:p>
      <w:r>
        <w:t xml:space="preserve">1. Verbandsversammlung,</w:t>
      </w:r>
    </w:p>
    <w:p>
      <w:r>
        <w:t xml:space="preserve">2. Verbandsvorsteher.</w:t>
      </w:r>
    </w:p>
    <w:p>
      <w:r>
        <w:t xml:space="preserve">In der Satzung können weitere Organe vorgesehen werden.</w:t>
      </w:r>
    </w:p>
    <w:p>
      <w:r>
        <w:rPr>
          <w:color w:val="555555"/>
          <w:sz w:val="17"/>
        </w:rPr>
        <w:t xml:space="preserve">Zitiervorschlag: § 3 NW_27225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