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Genehmigung des für Kommunales zuständigen Ministeriums im Einvernehmen mit dem jeweilig beteiligten Fachministerium ist erforderlich bei</w:t>
      </w:r>
    </w:p>
    <w:p>
      <w:r>
        <w:t xml:space="preserve">1. Erwerb und Veräußerung von Grundstücken im Werte von über 10 000 Euro,</w:t>
      </w:r>
    </w:p>
    <w:p>
      <w:r>
        <w:t xml:space="preserve">2. Aufnahme von Darlehen außerhalb eines laufenden Kassenkredits,</w:t>
      </w:r>
    </w:p>
    <w:p>
      <w:r>
        <w:t xml:space="preserve">3. Belastung von Grundeigentum,</w:t>
      </w:r>
    </w:p>
    <w:p>
      <w:r>
        <w:t xml:space="preserve">4. Übernahme einer fremden Verbindlichkeit.</w:t>
      </w:r>
    </w:p>
    <w:p>
      <w:r>
        <w:rPr>
          <w:color w:val="555555"/>
          <w:sz w:val="17"/>
        </w:rPr>
        <w:t xml:space="preserve">Zitiervorschlag: § 17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