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NW_27224 (Nordrhein-Westfalen)</w:t>
      </w:r>
    </w:p>
    <w:p>
      <w:r>
        <w:rPr>
          <w:color w:val="555555"/>
          <w:sz w:val="18"/>
        </w:rPr>
        <w:t xml:space="preserve">Gesetz zu § 7 Abs. 1 des Köln-Gesetzes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tritt am Tage nach der Verkündung in Kraft.</w:t>
      </w:r>
    </w:p>
    <w:p>
      <w:r>
        <w:t xml:space="preserve">Die Landesregierung</w:t>
      </w:r>
    </w:p>
    <w:p>
      <w:r>
        <w:t xml:space="preserve">des Landes Nordrhein-Westfalen</w:t>
      </w:r>
    </w:p>
    <w:p>
      <w:r>
        <w:t xml:space="preserve">Der Ministerpräsident</w:t>
      </w:r>
    </w:p>
    <w:p>
      <w:r>
        <w:t xml:space="preserve">Der Innenminister</w:t>
      </w:r>
    </w:p>
    <w:p>
      <w:r>
        <w:rPr>
          <w:color w:val="555555"/>
          <w:sz w:val="17"/>
        </w:rPr>
        <w:t xml:space="preserve">Zitiervorschlag: § 2 NW_27224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https://recht.nulegal.eu/gesetze/NW_27224/2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