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NW_27222 (Nordrhein-Westfalen)</w:t>
      </w:r>
    </w:p>
    <w:p>
      <w:r>
        <w:rPr>
          <w:color w:val="555555"/>
          <w:sz w:val="18"/>
        </w:rPr>
        <w:t xml:space="preserve">Gesetz über Gebietsänderungen im Neugliederungsraum Düsseldorf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Rat der Stadt Düsseldorf wird aufgelöst. § 29 Abs. 2 der Gemeindeordnung findet entsprechende Anwendung.</w:t>
      </w:r>
    </w:p>
    <w:p>
      <w:r>
        <w:t xml:space="preserve">(2) Der Kreistag des Kreises Mettmann wird aufgelöst. § 21 Abs. 2 der Kreisordnung findet entsprechende Anwendung.</w:t>
      </w:r>
    </w:p>
    <w:p>
      <w:r>
        <w:rPr>
          <w:color w:val="555555"/>
          <w:sz w:val="17"/>
        </w:rPr>
        <w:t xml:space="preserve">Zitiervorschlag: § 4 NW_27222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