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NW_27221 (Nordrhein-Westfalen)</w:t>
      </w:r>
    </w:p>
    <w:p>
      <w:r>
        <w:rPr>
          <w:color w:val="555555"/>
          <w:sz w:val="18"/>
        </w:rPr>
        <w:t xml:space="preserve">Wesseling-Gesetz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Haushaltsführung der Stadt Wesseling sind die Bestimmungen der §§ 68 - mit Ausnahme von Absatz 1 Nummer 2 - und 74 der Gemeindeordnung bis zur Bekanntmachung einer Haushaltssatzung für das Haushaltsjahr 1976 sinngemäß anzuwenden. Anstelle von § 68 Abs. 1 Nr. 2 GO gilt § 5 Abs. 2 der Bestimmungen des Regierungspräsidenten in Köln vom 4. März 1976 (Anlage 1b dieses Gesetzes).</w:t>
      </w:r>
    </w:p>
    <w:p>
      <w:r>
        <w:t xml:space="preserve">(2) Die Stadt Wesseling wird für das Haushaltsjahr 1976 von der Erstellung des Finanzplanes für den Planungszeitraum 1975 bis 1979 und des ihm zugrunde liegenden Investitionsprogramms freigestellt.</w:t>
      </w:r>
    </w:p>
    <w:p>
      <w:r>
        <w:t xml:space="preserve">(3) Der Ausgleich von Einnahmeausfällen an Schlüsselzuweisungen, die der Stadt Köln durch die Eingliederung der Stadt Wesseling in den Haushaltsjahren 1975 und 1976 entstanden sind, wird im Finanzausgleichsgesetz 1977 geregelt.</w:t>
      </w:r>
    </w:p>
    <w:p>
      <w:r>
        <w:rPr>
          <w:color w:val="555555"/>
          <w:sz w:val="17"/>
        </w:rPr>
        <w:t xml:space="preserve">Zitiervorschlag: § 8 NW_27221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https://recht.nulegal.eu/gesetze/NW_27221/8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