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1975 in Kraft.</w:t>
      </w:r>
    </w:p>
    <w:p>
      <w:r>
        <w:t xml:space="preserve">(2) Abweichend von Absatz 1 tritt § 43 Abs. 1 bis 3 am Tage nach der Verkündung in Kraft</w:t>
      </w:r>
    </w:p>
    <w:p>
      <w:r>
        <w:t xml:space="preserve">Gleichzeitig tritt § 61 Abs. 1 bis 3 des Münster/Hamm-Gesetzes vom 9. Juli 1974 (GV. NW. S. 417) abweichend von § 63 des genannten Gesetzes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46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NW_27219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