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</w:t>
      </w:r>
    </w:p>
    <w:p>
      <w:r>
        <w:t xml:space="preserve">(2)</w:t>
      </w:r>
    </w:p>
    <w:p>
      <w:r>
        <w:t xml:space="preserve">(3)</w:t>
      </w:r>
    </w:p>
    <w:p>
      <w:r>
        <w:t xml:space="preserve">(4) Die §§ 5 bis 7 des Gesetzes zur Neugliederung des Landkreises Siegen vom 26. April 1966 (GV. NW. S. 271) treten außer Kraft.</w:t>
      </w:r>
    </w:p>
    <w:p>
      <w:r>
        <w:t xml:space="preserve">(5) Die Verpflichtung, Berufsschulen zu errichten und fortzuführen (§ 10 Abs. 3 Satz 1 des Schulverwaltungsgesetzes) obliegt auch für die Städte Iserlohn und Siegen dem zuständigen Kreis.</w:t>
      </w:r>
    </w:p>
    <w:p>
      <w:r>
        <w:rPr>
          <w:color w:val="555555"/>
          <w:sz w:val="17"/>
        </w:rPr>
        <w:t xml:space="preserve">Zitiervorschlag: § 43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