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Beverungen, Borgentreich, Brakel, Bad Driburg, Höxter, Marienmünster, Nieheim, Steinheim, Warburg und Willebadessen werden zu einem neuen Kreis zusammengefaßt.</w:t>
      </w:r>
    </w:p>
    <w:p>
      <w:r>
        <w:t xml:space="preserve">(2) Der Kreis erhält den Namen Höxter.</w:t>
      </w:r>
    </w:p>
    <w:p>
      <w:r>
        <w:t xml:space="preserve">(3) Sitz der Kreisverwaltung ist die Stadt Höxter.</w:t>
      </w:r>
    </w:p>
    <w:p>
      <w:r>
        <w:t xml:space="preserve">(4) Die Kreise Höxter und Warburg werden aufgelöst. Rechtsnachfolger ist der neue Kreis Höxter.</w:t>
      </w:r>
    </w:p>
    <w:p>
      <w:r>
        <w:t xml:space="preserve">III. Abschnitt</w:t>
      </w:r>
    </w:p>
    <w:p>
      <w:r>
        <w:t xml:space="preserve">Gerichtsorganisation</w:t>
      </w:r>
    </w:p>
    <w:p>
      <w:r>
        <w:rPr>
          <w:color w:val="555555"/>
          <w:sz w:val="17"/>
        </w:rPr>
        <w:t xml:space="preserve">Zitiervorschlag: § 40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https://recht.nulegal.eu/gesetze/NW_27219/40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