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Laasphe und die Gemeinden Amtshausen - mit Ausnahme der in § 20 Abs. 2 Nr. 2 genannten Gebietsteile -, Banfe, Bermershausen, Bernshausen, Feudingen, Fischelbach, Großenbach, Heiligenborn, Herbertshausen, Hesselbach, Holzhausen, Kunst-Wittgenstein, Niederlaasphe, Oberndorf, Puderbach, Rückershausen, Rüppershausen, Saßmannshausen, Steinbach, Volkholz und Weide werden zu einer neuen Gemeinde zusammengeschlossen. Die Gemeinde erhält den Namen Laasphe und führt die Bezeichnung ,,Stadt".</w:t>
      </w:r>
    </w:p>
    <w:p>
      <w:r>
        <w:t xml:space="preserve">(2) Das Amt Laasphe wird aufgelöst. Rechtsnachfolgerin ist die Stadt Laasphe.</w:t>
      </w:r>
    </w:p>
    <w:p>
      <w:r>
        <w:rPr>
          <w:color w:val="555555"/>
          <w:sz w:val="17"/>
        </w:rPr>
        <w:t xml:space="preserve">Zitiervorschlag: § 19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