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Bergisch Gladbach, Burscheid, Kürten, Leichlingen (Rheinland), Odenthal, Overath, Rösrath und Wermelskirchen werden zu einem neuen Kreis zusammengefaßt.</w:t>
      </w:r>
    </w:p>
    <w:p>
      <w:r>
        <w:t xml:space="preserve">(2) Der Kreis erhält den Namen Rheinisch-Bergischer Kreis.</w:t>
      </w:r>
    </w:p>
    <w:p>
      <w:r>
        <w:t xml:space="preserve">(3) Sitz der Kreisverwaltung ist die Stadt Bergisch Gladbach.</w:t>
      </w:r>
    </w:p>
    <w:p>
      <w:r>
        <w:t xml:space="preserve">(4) Der bisherige Rheinisch-Bergische Kreis und der Rhein-Wupper-Kreis werden aufgelöst. Rechtsnachfolger ist der neue Rheinisch-Bergische Kreis.</w:t>
      </w:r>
    </w:p>
    <w:p>
      <w:r>
        <w:rPr>
          <w:color w:val="555555"/>
          <w:sz w:val="17"/>
        </w:rPr>
        <w:t xml:space="preserve">Zitiervorschlag: § 24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