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Stadt Brühl werden eingegliedert:</w:t>
      </w:r>
    </w:p>
    <w:p>
      <w:r>
        <w:t xml:space="preserve">1. aus der Gemeinde Hürth die Flurstücke:</w:t>
      </w:r>
    </w:p>
    <w:p>
      <w:r>
        <w:t xml:space="preserve">Gemarkung Fischenich</w:t>
      </w:r>
    </w:p>
    <w:p>
      <w:r>
        <w:t xml:space="preserve">Flur Rb (4) Nr. 1037/387, 1038/387, 1053/387, 1054/387, 2091 bis 2096, 2136 und 2255;</w:t>
      </w:r>
    </w:p>
    <w:p>
      <w:r>
        <w:t xml:space="preserve">2. aus der Stadt Wesseling die Flurstücke:</w:t>
      </w:r>
    </w:p>
    <w:p>
      <w:r>
        <w:t xml:space="preserve">Gemarkung Berzdorf</w:t>
      </w:r>
    </w:p>
    <w:p>
      <w:r>
        <w:t xml:space="preserve">Flur 10 Nr. 51, 106, 107, 109, 110, 111 und 137.</w:t>
      </w:r>
    </w:p>
    <w:p>
      <w:r>
        <w:t xml:space="preserve">II. Abschnitt</w:t>
      </w:r>
    </w:p>
    <w:p>
      <w:r>
        <w:t xml:space="preserve">Gebietsänderungen im Bereich der Kreise</w:t>
      </w:r>
    </w:p>
    <w:p>
      <w:r>
        <w:rPr>
          <w:color w:val="555555"/>
          <w:sz w:val="17"/>
        </w:rPr>
        <w:t xml:space="preserve">Zitiervorschlag: § 23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