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 Stadt Burscheid werden aus der Stadt Wermelskirchen die Flurstücke:</w:t>
      </w:r>
    </w:p>
    <w:p>
      <w:r>
        <w:t xml:space="preserve">Gemarkung Niederwermelskirchen</w:t>
      </w:r>
    </w:p>
    <w:p>
      <w:r>
        <w:t xml:space="preserve">Flur 2 Nr. 1, 3 bis 8, 10 bis 12, 17, 24, 27 bis 31, 117 bis 123, 134 und 135,</w:t>
      </w:r>
    </w:p>
    <w:p>
      <w:r>
        <w:t xml:space="preserve">Flur 3 Nr. 9, 10, 15, 16, 18 bis 27, 29 bis 36, 38 bis 46, 160 bis 162, 171, 172, 176, 185, 188, 189, 191 bis 196, 210 bis 213 und 215</w:t>
      </w:r>
    </w:p>
    <w:p>
      <w:r>
        <w:t xml:space="preserve">eingegliedert.</w:t>
      </w:r>
    </w:p>
    <w:p>
      <w:r>
        <w:rPr>
          <w:color w:val="555555"/>
          <w:sz w:val="17"/>
        </w:rPr>
        <w:t xml:space="preserve">Zitiervorschlag: § 19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