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NW_27217 (Nordrhein-Westfalen)</w:t>
      </w:r>
    </w:p>
    <w:p>
      <w:r>
        <w:rPr>
          <w:color w:val="555555"/>
          <w:sz w:val="18"/>
        </w:rPr>
        <w:t xml:space="preserve">Düsseldorf-Gesetz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Rommerskirchen, Frixheim-Anstel, Nettesheim-Butzheim, Hoeningen und Oekoven werden zu einer neuen amtsfreien Gemeinde zusammengeschlossen. Die Gemeinde erhält den Namen Rommerskirchen.</w:t>
      </w:r>
    </w:p>
    <w:p>
      <w:r>
        <w:t xml:space="preserve">(2) Die Ämter Rommerskirchen-Nettesheim und Evinghoven werden aufgelöst. Rechtsnachfolgerin ist die neue Gemeinde Rommerskirchen.</w:t>
      </w:r>
    </w:p>
    <w:p>
      <w:r>
        <w:rPr>
          <w:color w:val="555555"/>
          <w:sz w:val="17"/>
        </w:rPr>
        <w:t xml:space="preserve">Zitiervorschlag: § 8 NW_27217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https://recht.nulegal.eu/gesetze/NW_27217/8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