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1. Januar 1975 in Kraft.</w:t>
      </w:r>
    </w:p>
    <w:p>
      <w:r>
        <w:t xml:space="preserve">(2) Abweichend von Absatz 1 tritt § 28 Abs. 1 bis 3 am Tage nach der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Für den Innenminister</w:t>
      </w:r>
    </w:p>
    <w:p>
      <w:r>
        <w:t xml:space="preserve">Der Minister für Wirtschaft,</w:t>
      </w:r>
    </w:p>
    <w:p>
      <w:r>
        <w:t xml:space="preserve">Mittelstand und Verkehr</w:t>
      </w:r>
    </w:p>
    <w:p>
      <w:r>
        <w:t xml:space="preserve">Der Justizminister</w:t>
      </w:r>
    </w:p>
    <w:p>
      <w:r>
        <w:rPr>
          <w:color w:val="555555"/>
          <w:sz w:val="17"/>
        </w:rPr>
        <w:t xml:space="preserve">Zitiervorschlag: § 31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