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NW_27217 (Nordrhein-Westfalen)</w:t>
      </w:r>
    </w:p>
    <w:p>
      <w:r>
        <w:rPr>
          <w:color w:val="555555"/>
          <w:sz w:val="18"/>
        </w:rPr>
        <w:t xml:space="preserve">Düsseldorf-Gesetz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</w:t>
      </w:r>
    </w:p>
    <w:p>
      <w:r>
        <w:t xml:space="preserve">(2)</w:t>
      </w:r>
    </w:p>
    <w:p>
      <w:r>
        <w:t xml:space="preserve">(3)</w:t>
      </w:r>
    </w:p>
    <w:p>
      <w:r>
        <w:t xml:space="preserve">(4) Die Verpflichtung, Berufsschulen zu errichten und fortzuführen (§ 10 Abs. 3 Satz 1 des Schulverwaltungsgesetzes), obliegt auch für die Stadt Neuss dem zuständigen Kreis.</w:t>
      </w:r>
    </w:p>
    <w:p>
      <w:r>
        <w:rPr>
          <w:color w:val="555555"/>
          <w:sz w:val="17"/>
        </w:rPr>
        <w:t xml:space="preserve">Zitiervorschlag: § 28 NW_27217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https://recht.nulegal.eu/gesetze/NW_27217/28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