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der neuen kreisfreien Stadt Mönchengladbach bestehen die Amtsgerichte Mönchengladbach und Mönchengladbach-Rheydt.</w:t>
      </w:r>
    </w:p>
    <w:p>
      <w:r>
        <w:t xml:space="preserve">(2) Der Bezirk des Amtsgerichts Mönchengladbach umfaßt das Gebiet der bisherigen Stadt Mönchengladbach sowie die in § 1 Abs. 2 Nrn. 1, 2 und 4 aufgeführten Gebietsteile. Der Bezirk des Amtsgerichts Mönchengladbach-Rheydt umfaßt das übrige Gebiet der neuen Stadt Mönchengladbach.</w:t>
      </w:r>
    </w:p>
    <w:p>
      <w:r>
        <w:rPr>
          <w:color w:val="555555"/>
          <w:sz w:val="17"/>
        </w:rPr>
        <w:t xml:space="preserve">Zitiervorschlag: § 25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