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NW_27217 (Nordrhein-Westfalen)</w:t>
      </w:r>
    </w:p>
    <w:p>
      <w:r>
        <w:rPr>
          <w:color w:val="555555"/>
          <w:sz w:val="18"/>
        </w:rPr>
        <w:t xml:space="preserve">Düsseldorf-Gesetz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Langenfeld (Rheinland) wird in den Kreis Düsseldorf-Mettmann eingegliedert.</w:t>
      </w:r>
    </w:p>
    <w:p>
      <w:r>
        <w:t xml:space="preserve">(2) Der Kreis Düsseldorf-Mettmann erhält den Namen ,,Kreis Mettmann".</w:t>
      </w:r>
    </w:p>
    <w:p>
      <w:r>
        <w:t xml:space="preserve">III. Abschnitt</w:t>
      </w:r>
    </w:p>
    <w:p>
      <w:r>
        <w:t xml:space="preserve">Gerichtsorganisation</w:t>
      </w:r>
    </w:p>
    <w:p>
      <w:r>
        <w:rPr>
          <w:color w:val="555555"/>
          <w:sz w:val="17"/>
        </w:rPr>
        <w:t xml:space="preserve">Zitiervorschlag: § 24 NW_27217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https://recht.nulegal.eu/gesetze/NW_27217/24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NW_27217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