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</w:t>
      </w:r>
    </w:p>
    <w:p>
      <w:r>
        <w:t xml:space="preserve">(2)</w:t>
      </w:r>
    </w:p>
    <w:p>
      <w:r>
        <w:t xml:space="preserve">(3)</w:t>
      </w:r>
    </w:p>
    <w:p>
      <w:r>
        <w:t xml:space="preserve">(4) Die Verpflichtung, Berufsschulen zu errichten und fortzuführen (§ 10 Abs. 3 Satz 1 des Schulverwaltungsgesetzes), obliegt auch für das Gebiet der Stadt Bocholt ausschließlich dem Kreis Borken.</w:t>
      </w:r>
    </w:p>
    <w:p>
      <w:r>
        <w:rPr>
          <w:color w:val="555555"/>
          <w:sz w:val="17"/>
        </w:rPr>
        <w:t xml:space="preserve">Zitiervorschlag: § 61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https://recht.nulegal.eu/gesetze/NW_27216/61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