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Sendenhorst und die Gemeinde Albersloh - mit Ausnahme der in § 1 Abs. 2 Nr. 1 genannten Flur und Flurstücke - werden zu einer neuen Gemeinde zusammengeschlossen. Die Gemeinde erhält den Namen Sendenhorst und führt die Bezeichnung ,,Stadt".</w:t>
      </w:r>
    </w:p>
    <w:p>
      <w:r>
        <w:t xml:space="preserve">(2) In die Stadt Sendenhorst werden aus der Gemeinde Alverskirchen folgende Flurstücke eingegliedert:</w:t>
      </w:r>
    </w:p>
    <w:p>
      <w:r>
        <w:t xml:space="preserve">Gemarkung Alverskirchen</w:t>
      </w:r>
    </w:p>
    <w:p>
      <w:r>
        <w:t xml:space="preserve">Flur 13 Nrn. 6, 7, 13, 135 und 136.</w:t>
      </w:r>
    </w:p>
    <w:p>
      <w:r>
        <w:t xml:space="preserve">(3) Das Amt Sendenhorst wird aufgelöst. Rechtsnachfolgerin ist die Stadt Sendenhorst.</w:t>
      </w:r>
    </w:p>
    <w:p>
      <w:r>
        <w:rPr>
          <w:color w:val="555555"/>
          <w:sz w:val="17"/>
        </w:rPr>
        <w:t xml:space="preserve">Zitiervorschlag: § 6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