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NW_27216 (Nordrhein-Westfalen)</w:t>
      </w:r>
    </w:p>
    <w:p>
      <w:r>
        <w:rPr>
          <w:color w:val="555555"/>
          <w:sz w:val="18"/>
        </w:rPr>
        <w:t xml:space="preserve">Münster/Hamm-Gesetz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kreisfreie Stadt Münster sowie die Kreise Borken, Coesfeld, Steinfurt und Warendorf gehören zum Zuständigkeitsbereich des Verwaltungsgerichts Münster, die kreisfreie Stadt Hamm sowie der Kreis Soest zum Zuständigkeitsbereich des Verwaltungsgerichts Arnsberg.</w:t>
      </w:r>
    </w:p>
    <w:p>
      <w:r>
        <w:t xml:space="preserve">(2)</w:t>
      </w:r>
    </w:p>
    <w:p>
      <w:r>
        <w:t xml:space="preserve">IV. Abschnitt</w:t>
      </w:r>
    </w:p>
    <w:p>
      <w:r>
        <w:t xml:space="preserve">Schlußbestimmungen</w:t>
      </w:r>
    </w:p>
    <w:p>
      <w:r>
        <w:rPr>
          <w:color w:val="555555"/>
          <w:sz w:val="17"/>
        </w:rPr>
        <w:t xml:space="preserve">Zitiervorschlag: § 59 NW_27216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https://recht.nulegal.eu/gesetze/NW_27216/59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