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die Gemeinde Recke werden aus der Gemeinde Ibbenbüren-Land folgende Flur und Flurstücke eingegliedert:</w:t>
      </w:r>
    </w:p>
    <w:p>
      <w:r>
        <w:t xml:space="preserve">Gemarkung Ibbenbüren-Land</w:t>
      </w:r>
    </w:p>
    <w:p>
      <w:r>
        <w:t xml:space="preserve">Flur 17;</w:t>
      </w:r>
    </w:p>
    <w:p>
      <w:r>
        <w:t xml:space="preserve">Flur 18 Nrn. 1, 2, 6 bis 8, 20 bis 37, 44, 45, 212, 230, 232, 234 und 236;</w:t>
      </w:r>
    </w:p>
    <w:p>
      <w:r>
        <w:t xml:space="preserve">Flur 19 Nrn. 190 bis 196, 200, 203 bis 207, 270, 272, 274 und 275.</w:t>
      </w:r>
    </w:p>
    <w:p>
      <w:r>
        <w:rPr>
          <w:color w:val="555555"/>
          <w:sz w:val="17"/>
        </w:rPr>
        <w:t xml:space="preserve">Zitiervorschlag: § 28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NW_27216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