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NW_27216 (Nordrhein-Westfalen)</w:t>
      </w:r>
    </w:p>
    <w:p>
      <w:r>
        <w:rPr>
          <w:color w:val="555555"/>
          <w:sz w:val="18"/>
        </w:rPr>
        <w:t xml:space="preserve">Münster/Hamm-Gesetz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Gimbte - mit Ausnahme der in § 1 Abs. 2 Nr. 2 genannten Flurstücke - wird in die Stadt Greven eingegliedert.</w:t>
      </w:r>
    </w:p>
    <w:p>
      <w:r>
        <w:t xml:space="preserve">(2) In die Stadt Greven werden weiterhin eingegliedert:</w:t>
      </w:r>
    </w:p>
    <w:p>
      <w:r>
        <w:t xml:space="preserve">1. aus der Gemeinde Ladbergen die Flurstücke:</w:t>
      </w:r>
    </w:p>
    <w:p>
      <w:r>
        <w:t xml:space="preserve">Gemarkung Ladbergen</w:t>
      </w:r>
    </w:p>
    <w:p>
      <w:r>
        <w:t xml:space="preserve">Flur 26 Nrn. 185 bis 193 und 375;</w:t>
      </w:r>
    </w:p>
    <w:p>
      <w:r>
        <w:t xml:space="preserve">Flur 31 Nrn. 256 bis 259 und 820;</w:t>
      </w:r>
    </w:p>
    <w:p>
      <w:r>
        <w:t xml:space="preserve">2. aus der Gemeinde Saerbeck die Flurstücke:</w:t>
      </w:r>
    </w:p>
    <w:p>
      <w:r>
        <w:t xml:space="preserve">Gemarkung Saerbeck</w:t>
      </w:r>
    </w:p>
    <w:p>
      <w:r>
        <w:t xml:space="preserve">Flur 25 Nrn. 439 und 448;</w:t>
      </w:r>
    </w:p>
    <w:p>
      <w:r>
        <w:t xml:space="preserve">Flur 26 Nrn. 56 bis 58, 60 bis 63, 65 bis 70, 72, 73, 76 bis 78, 80 bis 93, 107, 115 bis 117, 120 bis 122, 124, 125, 133, 134, 139, 147, 148 und 150 bis 167.</w:t>
      </w:r>
    </w:p>
    <w:p>
      <w:r>
        <w:rPr>
          <w:color w:val="555555"/>
          <w:sz w:val="17"/>
        </w:rPr>
        <w:t xml:space="preserve">Zitiervorschlag: § 2 NW_27216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