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Diestedde, Liesborn - mit Ausnahme der in § 45 Abs. 2 Nr. 6 genannten Fluren und Flurstücke - und Wadersloh werden zu einer neuen Gemeinde zusammengeschlossen. Die Gemeinde erhält den Namen Wadersloh.</w:t>
      </w:r>
    </w:p>
    <w:p>
      <w:r>
        <w:t xml:space="preserve">(2) In die Gemeinde Wadersloh werden aus der Stadt Oelde folgende Flurstücke eingegliedert:</w:t>
      </w:r>
    </w:p>
    <w:p>
      <w:r>
        <w:t xml:space="preserve">Gemarkung Oelde</w:t>
      </w:r>
    </w:p>
    <w:p>
      <w:r>
        <w:t xml:space="preserve">Flur 305 Nrn. 22, 24, 43 bis 45, 51 und 53 bis 58.</w:t>
      </w:r>
    </w:p>
    <w:p>
      <w:r>
        <w:t xml:space="preserve">(3) Das Amt Liesborn-Wadersloh wird aufgelöst. Rechtsnachfolgerin ist die Gemeinde Wadersloh.</w:t>
      </w:r>
    </w:p>
    <w:p>
      <w:r>
        <w:rPr>
          <w:color w:val="555555"/>
          <w:sz w:val="17"/>
        </w:rPr>
        <w:t xml:space="preserve">Zitiervorschlag: § 19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