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NW_27215 (Nordrhein-Westfalen)</w:t>
      </w:r>
    </w:p>
    <w:p>
      <w:r>
        <w:rPr>
          <w:color w:val="555555"/>
          <w:sz w:val="18"/>
        </w:rPr>
        <w:t xml:space="preserve">Niederrhein-Gesetz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Alpen, Dinslaken, Hünxe, Kamp-Lintfort, Moers, Neukirchen-Vluyn, Rheinberg, Hamminkeln, Schermbeck, Sonsbeck, Voerde (Niederrhein), Wesel und Xanten werden zu einem neuen Kreis zusammengefaßt.</w:t>
      </w:r>
    </w:p>
    <w:p>
      <w:r>
        <w:t xml:space="preserve">(2) Der Kreis erhält den Namen Wesel.</w:t>
      </w:r>
    </w:p>
    <w:p>
      <w:r>
        <w:t xml:space="preserve">(3) Sitz der Kreisverwaltung ist die Stadt Wesel.</w:t>
      </w:r>
    </w:p>
    <w:p>
      <w:r>
        <w:t xml:space="preserve">(4) Die Kreise Dinslaken, Moers und Rees werden aufgelöst. Rechtsnachfolger ist der Kreis Wesel.</w:t>
      </w:r>
    </w:p>
    <w:p>
      <w:r>
        <w:rPr>
          <w:color w:val="555555"/>
          <w:sz w:val="17"/>
        </w:rPr>
        <w:t xml:space="preserve">Zitiervorschlag: § 11 NW_27215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