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die Stadt Essen wird die Stadt Kettwig (Kreis Düsseldorf-Mettmann) - mit Ausnahme der in Absatz 2 genannten Flurstücke - eingegliedert</w:t>
      </w:r>
    </w:p>
    <w:p>
      <w:r>
        <w:t xml:space="preserve">(2) In die Stadt Mülheim a d. Ruhr werden eingegliedert aus der Stadt Kettwig die Flurstücke</w:t>
      </w:r>
    </w:p>
    <w:p>
      <w:r>
        <w:t xml:space="preserve">Gemarkung Kettwig</w:t>
      </w:r>
    </w:p>
    <w:p>
      <w:r>
        <w:t xml:space="preserve">Flur 12,</w:t>
      </w:r>
    </w:p>
    <w:p>
      <w:r>
        <w:t xml:space="preserve">Flur 13,</w:t>
      </w:r>
    </w:p>
    <w:p>
      <w:r>
        <w:t xml:space="preserve">Flur 14 Nr. 1 bis 3, 11 bis 19, 21, 29 bis 33, 35 und 38.</w:t>
      </w:r>
    </w:p>
    <w:p>
      <w:r>
        <w:rPr>
          <w:color w:val="555555"/>
          <w:sz w:val="17"/>
        </w:rPr>
        <w:t xml:space="preserve">Zitiervorschlag: § 6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