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1. Januar 1975 in Kraft.</w:t>
      </w:r>
    </w:p>
    <w:p>
      <w:r>
        <w:t xml:space="preserve">(2) Abweichend von Absatz 1 tritt § 29 Abs. 1 bis 3 am Tage nach der Verkündung in Kraft.</w:t>
      </w:r>
    </w:p>
    <w:p>
      <w:r>
        <w:t xml:space="preserve">Düsseldorf, den 9. Juli 1974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(L.S.)</w:t>
      </w:r>
    </w:p>
    <w:p>
      <w:r>
        <w:t xml:space="preserve">Der Innenminister</w:t>
      </w:r>
    </w:p>
    <w:p>
      <w:r>
        <w:t xml:space="preserve">Der Justizminister</w:t>
      </w:r>
    </w:p>
    <w:p>
      <w:r>
        <w:rPr>
          <w:color w:val="555555"/>
          <w:sz w:val="17"/>
        </w:rPr>
        <w:t xml:space="preserve">Zitiervorschlag: § 32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