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NW_27214 (Nordrhein-Westfalen)</w:t>
      </w:r>
    </w:p>
    <w:p>
      <w:r>
        <w:rPr>
          <w:color w:val="555555"/>
          <w:sz w:val="18"/>
        </w:rPr>
        <w:t xml:space="preserve">Ruhrgebiet-Gesetz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bei Inkrafttreten dieses Gesetzes amtierenden Oberstadtdirektoren der Städte Recklinghausen, Castrop-Rauxel, Gladbeck, Lünen und Witten führen diese Bezeichnung für die Dauer ihrer laufenden Wahlzeit fort.</w:t>
      </w:r>
    </w:p>
    <w:p>
      <w:r>
        <w:t xml:space="preserve">(2) Die Vorsitzenden der Räte der Städte Recklinghausen, Castrop-Rauxel, Gladbeck, Lünen und Witten führen die Bezeichnung Oberbürgermeister bis zum Ablauf der Wahlperiode fort, in der die nach Absatz 1 geltende Regelung endet.</w:t>
      </w:r>
    </w:p>
    <w:p>
      <w:r>
        <w:rPr>
          <w:color w:val="555555"/>
          <w:sz w:val="17"/>
        </w:rPr>
        <w:t xml:space="preserve">Zitiervorschlag: § 30 NW_27214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https://recht.nulegal.eu/gesetze/NW_27214/30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NW_27214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