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</w:t>
      </w:r>
    </w:p>
    <w:p>
      <w:r>
        <w:t xml:space="preserve">(2)</w:t>
      </w:r>
    </w:p>
    <w:p>
      <w:r>
        <w:t xml:space="preserve">(3)</w:t>
      </w:r>
    </w:p>
    <w:p>
      <w:r>
        <w:t xml:space="preserve">(4) Die Verpflichtung, Berufsschulen zu errichten und fortzuführen (§10 Abs. 3 Satz 1 des Schulverwaltungsgesetzes), obliegt auch für die Städte Recklinghausen, Castrop-Rauxel, Gladbeck, Lünen und Witten dem zuständigen Kreis.</w:t>
      </w:r>
    </w:p>
    <w:p>
      <w:r>
        <w:rPr>
          <w:color w:val="555555"/>
          <w:sz w:val="17"/>
        </w:rPr>
        <w:t xml:space="preserve">Zitiervorschlag: § 29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