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neue kreisfreie Stadt Bochum wird ab 1. Januar 1978 dem Amtsgericht Bochum zugeordnet. Bis zu diesem Zeitpunkt gehören</w:t>
      </w:r>
    </w:p>
    <w:p>
      <w:r>
        <w:t xml:space="preserve">1. die Stadtbezirke Langendreer und Werne der bisherigen Stadt Bochum zum Bezirk des Amtsgerichts Bochum-Langendreer,</w:t>
      </w:r>
    </w:p>
    <w:p>
      <w:r>
        <w:t xml:space="preserve">2. das Gebiet der bisherigen Stadt Wattenscheid zum Bezirk des Amtsgerichts Wattenscheid,</w:t>
      </w:r>
    </w:p>
    <w:p>
      <w:r>
        <w:t xml:space="preserve">3. das übrige Stadtgebiet zum Bezirk des Amtsgerichts Bochum.</w:t>
      </w:r>
    </w:p>
    <w:p>
      <w:r>
        <w:t xml:space="preserve">(2) Die Amtsgerichte Bochum-Langendreer und Wattenscheid werden mit Ablauf des 31. Dezember 1977 aufgehoben.</w:t>
      </w:r>
    </w:p>
    <w:p>
      <w:r>
        <w:rPr>
          <w:color w:val="555555"/>
          <w:sz w:val="17"/>
        </w:rPr>
        <w:t xml:space="preserve">Zitiervorschlag: § 23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