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NW_27214 (Nordrhein-Westfalen)</w:t>
      </w:r>
    </w:p>
    <w:p>
      <w:r>
        <w:rPr>
          <w:color w:val="555555"/>
          <w:sz w:val="18"/>
        </w:rPr>
        <w:t xml:space="preserve">Ruhrgebiet-Gesetz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StädteLünen, Unna, Fröndenberg, Bergkamen, Kamen, Schwerte, Werne a. d. Lippe und die Gemeinden Bönen, Holzwickede und Selm werden zu einem neuen Kreis zusammengefaßt.</w:t>
      </w:r>
    </w:p>
    <w:p>
      <w:r>
        <w:t xml:space="preserve">(2) Der Kreis erhält den Namen Unna.</w:t>
      </w:r>
    </w:p>
    <w:p>
      <w:r>
        <w:t xml:space="preserve">(3) Sitz der Kreisverwaltung ist die Stadt Unna.</w:t>
      </w:r>
    </w:p>
    <w:p>
      <w:r>
        <w:t xml:space="preserve">(4) Der bisherige Kreis Unna wird aufgelöst. Rechtsnachfolger ist der neue Kreis Unna.</w:t>
      </w:r>
    </w:p>
    <w:p>
      <w:r>
        <w:rPr>
          <w:color w:val="555555"/>
          <w:sz w:val="17"/>
        </w:rPr>
        <w:t xml:space="preserve">Zitiervorschlag: § 19 NW_27214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https://recht.nulegal.eu/gesetze/NW_27214/19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