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NW_27214 (Nordrhein-Westfalen)</w:t>
      </w:r>
    </w:p>
    <w:p>
      <w:r>
        <w:rPr>
          <w:color w:val="555555"/>
          <w:sz w:val="18"/>
        </w:rPr>
        <w:t xml:space="preserve">Ruhrgebiet-Gesetz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Stadt Datteln werden die Gemeinden Ahsen und Horneburg eingegliedert.</w:t>
      </w:r>
    </w:p>
    <w:p>
      <w:r>
        <w:t xml:space="preserve">(2) Das Amt Waltrop wird aufgelöst Rechtsnachfolgerin ist die Stadt Waltrop</w:t>
      </w:r>
    </w:p>
    <w:p>
      <w:r>
        <w:rPr>
          <w:color w:val="555555"/>
          <w:sz w:val="17"/>
        </w:rPr>
        <w:t xml:space="preserve">Zitiervorschlag: § 13 NW_27214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