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1. Januar 1973 in Kraft.</w:t>
      </w:r>
    </w:p>
    <w:p>
      <w:r>
        <w:t xml:space="preserve">(2) Abweichend von Absatz 1 tritt § 22 Abs. 1 Nr. 8 letzter Satz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zugleich für den</w:t>
      </w:r>
    </w:p>
    <w:p>
      <w:r>
        <w:t xml:space="preserve">Innenminister</w:t>
      </w:r>
    </w:p>
    <w:p>
      <w:r>
        <w:t xml:space="preserve">Der Justizminister</w:t>
      </w:r>
    </w:p>
    <w:p>
      <w:r>
        <w:rPr>
          <w:color w:val="555555"/>
          <w:sz w:val="17"/>
        </w:rPr>
        <w:t xml:space="preserve">Zitiervorschlag: § 28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