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Räte der Städte Minden und Vlotho werden aufgelöst. § 29 Abs. 2 der Gemeindeordnung findet entsprechende Anwendung.</w:t>
      </w:r>
    </w:p>
    <w:p>
      <w:r>
        <w:t xml:space="preserve">(2) Die Kreistage der Kreise Herford und Warendorf werden aufgelöst. § 21 Abs. 2 der Kreisordnung findet entsprechende Anwendung.</w:t>
      </w:r>
    </w:p>
    <w:p>
      <w:r>
        <w:rPr>
          <w:color w:val="555555"/>
          <w:sz w:val="17"/>
        </w:rPr>
        <w:t xml:space="preserve">Zitiervorschlag: § 25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