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Birgelen, Effeld, Ophoven, Orsbeck; Wassenberg und Myhl - mit Ausnahme der in den §§ 28 und 32 genannten Flurstücke - werden zu einer neuen Gemeinde zusammengeschlossen. Die neue Gemeinde erhält den Namen Wassenberg.</w:t>
      </w:r>
    </w:p>
    <w:p>
      <w:r>
        <w:t xml:space="preserve">(2) In die Gemeinde Wassenberg werden aus der Gemeinde Gerderath folgende Flurstücke eingegliedert:</w:t>
      </w:r>
    </w:p>
    <w:p>
      <w:r>
        <w:t xml:space="preserve">Gemarkung Gerderath</w:t>
      </w:r>
    </w:p>
    <w:p>
      <w:r>
        <w:t xml:space="preserve">Flur 13 Nr. 113, 114, 195 bis 210, 212 bis 215, 246, 247, 330, 523, 524, 1082, 1083, 1099, 1125, 1126, 1127.</w:t>
      </w:r>
    </w:p>
    <w:p>
      <w:r>
        <w:t xml:space="preserve">(3) Das Amt Wassenberg wird aufgelöst. Rechtsnachfolgerin ist die Gemeinde Wassenberg.</w:t>
      </w:r>
    </w:p>
    <w:p>
      <w:r>
        <w:rPr>
          <w:color w:val="555555"/>
          <w:sz w:val="17"/>
        </w:rPr>
        <w:t xml:space="preserve">Zitiervorschlag: § 31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