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Heinsberg (Rhld.) und die Gemeinden Karken, Kempen, Kirchhoven - mit Ausnahme der in § 30 genannten Flurstücke -, Oberbruch-Dremmen, Randerath - mit Ausnahme der in § 29 genannten Flurstücke - und Waldenrath werden zu einer neuen Gemeinde zusammengeschlossen. Die neue Gemeinde erhält den Namen Heinsberg und führt die Bezeichnung ,,Stadt".</w:t>
      </w:r>
    </w:p>
    <w:p>
      <w:r>
        <w:t xml:space="preserve">(2) In die Stadt Heinsberg werden eingegliedert aus der Gemeinde Würm folgende Flurstücke:</w:t>
      </w:r>
    </w:p>
    <w:p>
      <w:r>
        <w:t xml:space="preserve">Gemarkung Würm</w:t>
      </w:r>
    </w:p>
    <w:p>
      <w:r>
        <w:t xml:space="preserve">Flur 4 Nr. 2, 3, 4, 220, 221, 223, 224, 247, 270.</w:t>
      </w:r>
    </w:p>
    <w:p>
      <w:r>
        <w:t xml:space="preserve">(3) Das Amt Karken wird aufgelöst. Rechtsnachfolgerin ist die Stadt Heinsberg.</w:t>
      </w:r>
    </w:p>
    <w:p>
      <w:r>
        <w:rPr>
          <w:color w:val="555555"/>
          <w:sz w:val="17"/>
        </w:rPr>
        <w:t xml:space="preserve">Zitiervorschlag: § 27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