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NW_27211 (Nordrhein-Westfalen)</w:t>
      </w:r>
    </w:p>
    <w:p>
      <w:r>
        <w:rPr>
          <w:color w:val="555555"/>
          <w:sz w:val="18"/>
        </w:rPr>
        <w:t xml:space="preserve">Aachen-Gesetz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die Stadt Übach-Palenberg werden aus der Gemeinde Merkstein folgende Flurstücke eingegliedert:</w:t>
      </w:r>
    </w:p>
    <w:p>
      <w:r>
        <w:t xml:space="preserve">Gemarkung Merkstein</w:t>
      </w:r>
    </w:p>
    <w:p>
      <w:r>
        <w:t xml:space="preserve">Flur 1 ohne Nr. 148 bis 152, 243, 245, 247</w:t>
      </w:r>
    </w:p>
    <w:p>
      <w:r>
        <w:t xml:space="preserve">Flur 42 Nr. 2, 3/1, 9, 12, 33, 56.</w:t>
      </w:r>
    </w:p>
    <w:p>
      <w:r>
        <w:rPr>
          <w:color w:val="555555"/>
          <w:sz w:val="17"/>
        </w:rPr>
        <w:t xml:space="preserve">Zitiervorschlag: § 26 NW_27211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https://recht.nulegal.eu/gesetze/NW_27211/26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