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Baesweiler, Oidtweiler - mit Ausnahme der in § 4 genannten Flurstücke -, Puffendorf und Setterich werden zu einer neuen Gemeinde zusammengeschlossen. Die Gemeinde erhält den Namen Baesweiler.</w:t>
      </w:r>
    </w:p>
    <w:p>
      <w:r>
        <w:t xml:space="preserve">(2) Das Amt Baesweiler wird aufgelöst. Rechtsnachfolgerin ist die Gemeinde Baesweiler.</w:t>
      </w:r>
    </w:p>
    <w:p>
      <w:r>
        <w:rPr>
          <w:color w:val="555555"/>
          <w:sz w:val="17"/>
        </w:rPr>
        <w:t xml:space="preserve">Zitiervorschlag: § 25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