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Stadt Jülich - mit Ausnahme der in den §§ 18 und 19 genannten Flurstücke - werden die Gemeinden Kirchberg, Barmen, Bourheim - mit Ausnahme der in § 22 genannten Flurstücke -, Broich, Koslar, Merzenhausen, Mersch, Pattern bei Mersch, Stetternich und Welldorf eingegliedert.</w:t>
      </w:r>
    </w:p>
    <w:p>
      <w:r>
        <w:t xml:space="preserve">(2) In die Stadt Jülich werden weiter eingegliedert aus der Gemeinde Hambach die folgenden Flurstücke:</w:t>
      </w:r>
    </w:p>
    <w:p>
      <w:r>
        <w:t xml:space="preserve">Gemarkung Hambach</w:t>
      </w:r>
    </w:p>
    <w:p>
      <w:r>
        <w:t xml:space="preserve">Flur 2 Nr. 2, 3, 6, 7, 10, 11, 14, 15, 18, 19, 20, 75, 80/1, 80/2, 81 bis 86, 89, 90, 93, 95, 99, 100, 101, 102, 110, 111, 112, 121, 123/61, 127/65, 128/66, 129/67, 130/68, 131/69, 132/70, 133/71, 134/72, 135/73, 137/77, 140/114, 141/115, 145/1, 150/118, 151/94, 152/94, 153/94, 170/74, 171/74, 172/74, 173/74, 174/8, 175/13, 176/16, 182/64, 193 bis 211, 222, 225, 226.</w:t>
      </w:r>
    </w:p>
    <w:p>
      <w:r>
        <w:t xml:space="preserve">(3) Die Ämter Koslar und Stetternich werden aufgelöst. Rechtsnachfolgerin ist die Stadt Jülich.</w:t>
      </w:r>
    </w:p>
    <w:p>
      <w:r>
        <w:rPr>
          <w:color w:val="555555"/>
          <w:sz w:val="17"/>
        </w:rPr>
        <w:t xml:space="preserve">Zitiervorschlag: § 21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