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die Gemeinde Hürtgenwald - mit Ausnahme der in § 14 genannten Flurstücke - wird die Gemeinde Vossenack eingegliedert.</w:t>
      </w:r>
    </w:p>
    <w:p>
      <w:r>
        <w:t xml:space="preserve">(2) In die Gemeinde Hürtgenwald werden weiter eingegliedert aus der Gemeinde Schmidt folgende Flurstücke:</w:t>
      </w:r>
    </w:p>
    <w:p>
      <w:r>
        <w:t xml:space="preserve">Gemarkung Schmidt</w:t>
      </w:r>
    </w:p>
    <w:p>
      <w:r>
        <w:t xml:space="preserve">Flur 1</w:t>
      </w:r>
    </w:p>
    <w:p>
      <w:r>
        <w:t xml:space="preserve">Flur 2.</w:t>
      </w:r>
    </w:p>
    <w:p>
      <w:r>
        <w:t xml:space="preserve">(3) Das Amt Straß-Bergstein wird aufgelöst. Rechtsnachfolgerin ist die Gemeinde Hürtgenwald.</w:t>
      </w:r>
    </w:p>
    <w:p>
      <w:r>
        <w:rPr>
          <w:color w:val="555555"/>
          <w:sz w:val="17"/>
        </w:rPr>
        <w:t xml:space="preserve">Zitiervorschlag: § 15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