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die Stadt Zülpich - mit Ausnahme der in § 11 genannten Flurstücke - werden die Gemeinden Füssenich und Bürvenich eingegliedert.</w:t>
      </w:r>
    </w:p>
    <w:p>
      <w:r>
        <w:t xml:space="preserve">(2) In die Stadt Zülpich wird weiter aus der Gemeinde Veytal die Gemarkung Schwerfen eingegliedert.</w:t>
      </w:r>
    </w:p>
    <w:p>
      <w:r>
        <w:rPr>
          <w:color w:val="555555"/>
          <w:sz w:val="17"/>
        </w:rPr>
        <w:t xml:space="preserve">Zitiervorschlag: § 12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