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NW_27210 (Nordrhein-Westfalen)</w:t>
      </w:r>
    </w:p>
    <w:p>
      <w:r>
        <w:rPr>
          <w:color w:val="555555"/>
          <w:sz w:val="18"/>
        </w:rPr>
        <w:t xml:space="preserve">Gesetz zur Neugliederung des Kreises Kempen-Krefeld und der kreisfreien Stadt Viersen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bei Inkrafttreten dieses Gesetzes amtierende Oberstadtdirektor der Stadt Viersen führt diese Bezeichnung für die Dauer seiner laufenden Wahlzeit fort.</w:t>
      </w:r>
    </w:p>
    <w:p>
      <w:r>
        <w:t xml:space="preserve">(2) Der Vorsitzende des Rates der Stadt Viersen führt die Bezeichnung Oberbürgermeister bis zum Ablauf der Wahlperiode fort, in der die nach Absatz 1 geltende Regelung endet.</w:t>
      </w:r>
    </w:p>
    <w:p>
      <w:r>
        <w:rPr>
          <w:color w:val="555555"/>
          <w:sz w:val="17"/>
        </w:rPr>
        <w:t xml:space="preserve">Zitiervorschlag: § 12 NW_27210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