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NW_27210 (Nordrhein-Westfalen)</w:t>
      </w:r>
    </w:p>
    <w:p>
      <w:r>
        <w:rPr>
          <w:color w:val="555555"/>
          <w:sz w:val="18"/>
        </w:rPr>
        <w:t xml:space="preserve">Gesetz zur Neugliederung des Kreises Kempen-Krefeld und der kreisfreien Stadt Viersen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</w:t>
      </w:r>
    </w:p>
    <w:p>
      <w:r>
        <w:t xml:space="preserve">(3)</w:t>
      </w:r>
    </w:p>
    <w:p>
      <w:r>
        <w:t xml:space="preserve">(4) Die Verpflichtung, Berufsschulen zu errichten und fortzuführen (§ 10 Abs. 2 Satz 1 des Schulverwaltungsgesetzes), obliegt auch für das Gebiet der Stadt Viersen ausschließlich dem Kreis Kempen-Krefeld.</w:t>
      </w:r>
    </w:p>
    <w:p>
      <w:r>
        <w:rPr>
          <w:color w:val="555555"/>
          <w:sz w:val="17"/>
        </w:rPr>
        <w:t xml:space="preserve">Zitiervorschlag: § 11 NW_27210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