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 NW_27209 (Nordrhein-Westfalen)</w:t>
      </w:r>
    </w:p>
    <w:p>
      <w:r>
        <w:rPr>
          <w:color w:val="555555"/>
          <w:sz w:val="18"/>
        </w:rPr>
        <w:t xml:space="preserve">Gesetz zur Neugliederung des Ennepe-Ruhr-Kreises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 Gemeinde Linderhausen (Amt Haßlinghausen) wird - mit Ausnahme der in § 4 Abs. 2 Nr. 5, § 6 Abs. 2 Nr. 2 und § 13 Nr. 1 genannten Flurstücke - in die Stadt Schwelm eingegliedert.</w:t>
      </w:r>
    </w:p>
    <w:p>
      <w:r>
        <w:rPr>
          <w:color w:val="555555"/>
          <w:sz w:val="17"/>
        </w:rPr>
        <w:t xml:space="preserve">Zitiervorschlag: § 5 NW_27209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https://recht.nulegal.eu/gesetze/NW_27209/5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