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NW_27209 (Nordrhein-Westfalen)</w:t>
      </w:r>
    </w:p>
    <w:p>
      <w:r>
        <w:rPr>
          <w:color w:val="555555"/>
          <w:sz w:val="18"/>
        </w:rPr>
        <w:t xml:space="preserve">Gesetz zur Neugliederung des Ennepe-Ruhr-Kreises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Verpflichtung, Berufsschulen zu errichten und fortzuführen (§ 10 Abs. 2 Schulverwaltungsgesetz) obliegt für seinen Bereich ausschließlich dem Ennepe-Ruhr-Kreis.</w:t>
      </w:r>
    </w:p>
    <w:p>
      <w:r>
        <w:t xml:space="preserve">(2) Die Berufsschulverbände Ennepe-Ruhr-Süd, Ennepe-Ruhr-Ost und Ennepe-Ruhr-Nord werden aufgelöst. Rechtsnachfolger ist der Ennepe-Ruhr-Kreis.</w:t>
      </w:r>
    </w:p>
    <w:p>
      <w:r>
        <w:rPr>
          <w:color w:val="555555"/>
          <w:sz w:val="17"/>
        </w:rPr>
        <w:t xml:space="preserve">Zitiervorschlag: § 21 NW_27209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https://recht.nulegal.eu/gesetze/NW_27209/21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